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81 vom 30. Oktober 2025</w:t>
      </w:r>
    </w:p>
    <w:p>
      <w:r>
        <w:t>VS Kantonsgericht, 2025-10-30, FR</w:t>
      </w:r>
    </w:p>
    <w:p>
      <w:r>
        <w:rPr>
          <w:b/>
        </w:rPr>
        <w:t xml:space="preserve">Quelle: </w:t>
      </w:r>
      <w:r>
        <w:t>https://mcp.opencaselaw.ch/entscheid/vs_gerichte_S1 23 81</w:t>
      </w:r>
    </w:p>
    <w:p>
      <w:r>
        <w:t>FR: VS_GERICHTE S1 23 81 du 30 octobre 2025</w:t>
      </w:r>
    </w:p>
    <w:p>
      <w:r>
        <w:t>IT: VS_GERICHTE S1 23 81 del 30 ottobre 2025</w:t>
      </w:r>
    </w:p>
    <w:p>
      <w:pPr>
        <w:pStyle w:val="Heading2"/>
      </w:pPr>
      <w:r>
        <w:t>Erwägungen</w:t>
      </w:r>
    </w:p>
    <w:p>
      <w:r>
        <w:rPr>
          <w:b/>
        </w:rPr>
        <w:t>E. 1</w:t>
      </w:r>
    </w:p>
    <w:p>
      <w:r>
        <w:t>Selon l'article 1 alinéa 1 LAI, les dispositions de la LPGA s'appliquent à l'AI (art. 1a à 26bis et 28 à 70), à moins que la LAI n'y déroge expressément. Posté le 26 mai 2023, le recours à l'encontre de la décision du 28 avril précédent a été interjeté dans le délai légal de trente jours (art. 60 LPGA) et devant l'instance compétente (art. 56, 57 LPGA et 69 al. 1 let. a LAI ; art. 81a al. 1 LPJA). Il répond par ailleurs aux autres conditions formelles de recevabilité (art. 61 let. b LPGA), de sorte que la Cour doit entrer en matière.</w:t>
      </w:r>
    </w:p>
    <w:p>
      <w:r>
        <w:rPr>
          <w:b/>
        </w:rPr>
        <w:t>E. 2</w:t>
      </w:r>
    </w:p>
    <w:p>
      <w:r>
        <w:t>Le litige porte sur la suppression de la rente d’invalidité, par voie de révision (art. 17 LPGA), dès le 1er juillet 2023.</w:t>
      </w:r>
    </w:p>
    <w:p>
      <w:r>
        <w:rPr>
          <w:b/>
        </w:rPr>
        <w:t>E. 2.1</w:t>
      </w:r>
    </w:p>
    <w:p>
      <w:r>
        <w:t>A teneur de l’article 17 LPGA, la rente d’invalidité est, d’office ou sur demande, révisée pour l’avenir, à savoir augmentée, réduite ou supprimée, lorsque le taux d’invalidité de l’assuré : a. subit une modification d’au moins 5 points de pourcentage, ou b. atteint 100%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 68 consid. 2 et la référence ; 133 V 108 consid. 5 ; arrêt du Tribunal fédéral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 113 V 273 consid. 1a et les références).</w:t>
      </w:r>
    </w:p>
    <w:p>
      <w:r>
        <w:t>- 10 -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w:t>
      </w:r>
    </w:p>
    <w:p>
      <w:r>
        <w:rPr>
          <w:b/>
        </w:rPr>
        <w:t>E. 2.2</w:t>
      </w:r>
    </w:p>
    <w:p>
      <w:r>
        <w:t>L’appréciation globale des conséquences d’une atteinte à la santé, l’indication de l’incapacité de travail de l’assuré et des activités auxquelles l’atteinte le rend inapte sont du ressort du médecin (ATF 140 V 193 consid. 3.2 ; arrêt du Tribunal fédéral 9C_492/2014 du 3 juin 2015 consid. 5.2). Le juge apprécie librement les preuves médicales qu’il a recueillies, sans être lié par des règles formelles, en procédant à une appréciation complète et rigoureuse de ces preuves (art. 61 let. c LPGA).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143 V 124 consid. 2.2.2, 134 V 231 consid. 5.1 et 125 V 351 consid. 3a ; arrêt du Tribunal fédéral 9C_477/2018 du 28 août 2018 consid. 2).</w:t>
      </w:r>
    </w:p>
    <w:p>
      <w:r>
        <w:rPr>
          <w:b/>
        </w:rPr>
        <w:t>E. 2.3</w:t>
      </w:r>
    </w:p>
    <w:p>
      <w:r>
        <w:t>Selon la jurisprudence, dans le cadre d’une éventuelle suppression ou diminution du droit à la rente, le fardeau de la preuve relative à une modification notable du taux d’invalidité incombe à l'assureur qui supporte les conséquences de l'absence ou de l'échec de cette preuve, laquelle doit être rapportée au degré, usuel en droit des assurances sociales, de la vraisemblance prépondérante (arrêt du Tribunal fédéral 9C_273/2014 du 16 juin 2014 consid. 3.1.1 ; arrêt du Tribunal administratif fédéral C- 7097/2018 du 3 avril 2023 consid. 5.1.4 et les références citées).</w:t>
      </w:r>
    </w:p>
    <w:p>
      <w:r>
        <w:t>- 11 -</w:t>
      </w:r>
    </w:p>
    <w:p>
      <w:r>
        <w:rPr>
          <w:b/>
        </w:rPr>
        <w:t>E. 3.1</w:t>
      </w:r>
    </w:p>
    <w:p>
      <w:r>
        <w:t>En l’espèce, il sied d’examiner si et comment l’état de santé de l’assuré et sa capacité de travail ont évolué depuis la décision du 20 août 2021 lui octroyant une rente entière d’invalidité à partir du 1er avril 2020 jusqu’au moment de la décision litigieuse du 28 avril 2023. Lors de la décision du 20 août 2021, l’OAI a retenu que le recourant présentait une incapacité de travail totale dans toute activité. Dans une appréciation du 6 mai 2021, le SMR avait considéré que le recourant disposait d’une pleine capacité de travail dans une activité adaptée concernant son poignet droit. Au niveau lombaire, la Dresse J.____ avait retenu les diagnostics incapacitants de lombo-sciatalgies droites non déficitaires sur discopathie modérée étagée et arthrose inter-apophysaire postérieure en L5-S1 avec rétrécissement modéré des trous de conjugaison L5-S1 et atteinte de type Modic 1 en L4-L5 et de Modic 2 aux autres niveaux. Elle avait estimé que la situation médicale au niveau lombaire n’était pas stabilisée. Dans sa décision du 28 avril 2023, l’OAI s’est appuyé principalement sur les conclusions du SMR, selon lesquelles le recourant présentait une pleine capacité de travail dans une activité adaptée dès le 2 février 2022. Pour sa part, le recourant a soutenu que son état de santé ne s’était pas amélioré depuis la décision d’octroi de rente et que le SMR avait procédé à une appréciation différente d’une situation inchangée. Dans le cadre de la procédure de révision, entamée en septembre 2021, l’assuré a indiqué que son état de santé était toujours le même. Le Dr D.____, médecin traitant, a indiqué que son patient souffrait notamment de lombalgies invalidantes. S’il a d’abord retenu une capacité de travail de quatre heures par jour, il a ensuite indiqué que la position debout était douloureuse après dix minutes et que les positions assise et allongée sur le dos provoquaient également des douleurs. Il a noté que la prise d’anti- inflammatoires, les infiltrations et le traitement auprès du centre de la douleur n’étaient que peu efficaces. Il a considéré, dans son rapport de janvier 2023, qu’aucune activité n’était exigible du recourant en raison de la persistance des douleurs et de la nécessité de changer continuellement de position. Le Dr E.____ a indiqué que la situation était similaire à celle de novembre 2021. Les mobilités du rachis étaient similaires voire un peu moins bonnes qu’en juin 2020. Quant à la Dresse I.____, elle a indiqué, en octobre 2023, que la situation était inchangée, voire aggravée. Les examens de scintigraphie osseuse confirmaient de multiples points inflammatoires pouvant être à l’origine des</w:t>
      </w:r>
    </w:p>
    <w:p>
      <w:r>
        <w:t>- 12 - douleurs du recourant. Dans un rapport d’août 2023, le Dr L.____ du Centre de traitement de la douleur de R.____ a également confirmé que les lombalgies étaient toujours les mêmes, en barre avec une irradiation sur la face antérieure de la cuisse droite jusqu’au genou. La Cour estime que les avis des médecins traitants du recourant sont de nature à mettre en doute les conclusions du SMR. On relèvera d’abord que le SMR a considéré qu’il était justifié de retenir une pleine capacité de travail dans une activité adaptée en présence de lombalgies chroniques non déficitaires, alors qu’on rappellera qu’au moment de l’octroi de la rente d’invalidité, le SMR avait déjà retenu des lombo-sciatalgies non déficitaires. Le SMR retient ensuite une pleine capacité de travail, alors que le Dr D.____ n’avait dans un premier temps retenu qu’une capacité de travail de quatre heures par jour dans une activité adaptée. Le SMR soutient que le Dr D.____ n’a pas motivé la capacité de travail résiduelle de 50% dans une activité adaptée à l’atteinte lombaire. On constate cependant que le Dr D.____ a expliqué en janvier 2023 que son patient ne pouvait finalement exercer aucune activité en raison de la persistance des douleurs et de la nécessité de changer continuellement de position. On relèvera en outre que l’ensemble des médecins consultés ont considéré que la situation du recourant n’avait pas changé, voire s’était aggravée (Drs E.____, I.____, L.____), ce que le recourant avait également mentionné dans le questionnaire sur la révision. Concernant l’atteinte au poignet droit, le SMR a confirmé une pleine capacité de travail dans une activité adaptée dès le 9 décembre 2020. Finalement, on ajoutera que le SMR a rédigé son avis sans avoir procédé à un examen personnel du recourant. En conséquence, l’OAI ne pouvait pas se baser sur l’avis du SMR pour retenir un motif de révision. Les rapports des médecins consultés par le recourant ne permettent non plus pas à la Cour de céans de se prononcer sur l’existence ou non d’un motif de révision.</w:t>
      </w:r>
    </w:p>
    <w:p>
      <w:r>
        <w:rPr>
          <w:b/>
        </w:rPr>
        <w:t>E. 3.2</w:t>
      </w:r>
    </w:p>
    <w:p>
      <w:r>
        <w:t>L’autorité cantonale qui estime que les faits ne sont pas suffisamment élucidés a en principe le choix entre deux solutions : soit renvoyer la cause à l’assureur pour complément d’instruction, soit procéder elle-même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w:t>
      </w:r>
    </w:p>
    <w:p>
      <w:r>
        <w:t>- 13 - 2008 consid. 2.3). A l’inverse, le renvoi à l’assureur apparaît en général justifié si celui- 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rPr>
          <w:b/>
        </w:rPr>
        <w:t>E. 3.3</w:t>
      </w:r>
    </w:p>
    <w:p>
      <w:r>
        <w:t>Au vu de ce qui précède, le recours est partiellement admis et la décision du 28 avril 2023 annulée. La cause est renvoyée à l’intimé pour qu’il complète l’instruction en mettant en œuvre une expertise indépendante. A l’issue de ce complément d’instruction, il appartiendra à l’intimé d’examiner à nouveau la question de la révision de la rentre entière d’invalidité octroyée au recourant par décision du 9 juillet 2021, étant précisé qu’une nouvelle demande de prestations AI a été déposée le 2 avril 2024.</w:t>
      </w:r>
    </w:p>
    <w:p>
      <w:r>
        <w:rPr>
          <w:b/>
        </w:rPr>
        <w:t>E. 4.1</w:t>
      </w:r>
    </w:p>
    <w:p>
      <w:r>
        <w:t>La procédure de recours en matière de contestations portant sur l'octroi ou le refus de prestations de l'assurance-invalidité devant le tribunal cantonal des assurances est soumise à des frais judiciaires (art. 61 let. fbis LPGA et art. 69 al. 1bis LAI). La partie recourante est réputée avoir obtenu gain de cause (art. 61 let. g LPGA) lorsque, dans la procédure judiciaire cantonale portant sur des prestations d’assurance sociale, la décision administrative est annulée et la cause renvoyée à l’administration pour instruction complémentaire puis nouvelle décision (ATF 137 V 57 consid. 2.1 et 132 V 215 consid. 6).</w:t>
      </w:r>
    </w:p>
    <w:p>
      <w:r>
        <w:rPr>
          <w:b/>
        </w:rPr>
        <w:t>E. 4.2</w:t>
      </w:r>
    </w:p>
    <w:p>
      <w:r>
        <w:t>Eu égard à l'issue de la cause, A.____ a obtenu gain de cause. Les frais de procédure arrêtés au regard des principes de la couverture des frais et de l’équivalence des prestations à 500 fr. sont mis à la charge de l'OAI (art. 69 al. 1bis LAI).</w:t>
      </w:r>
    </w:p>
    <w:p>
      <w:r>
        <w:rPr>
          <w:b/>
        </w:rPr>
        <w:t>E. 5.1</w:t>
      </w:r>
    </w:p>
    <w:p>
      <w:r>
        <w:t>Aux termes des articles 61 lettre g LPGA et 91 alinéa 1 LPJA, le recourant qui obtient gain de cause a droit au remboursement de ses frais et dépens dans la mesure fixée par le tribunal. L’autorité cantonale chargée de fixer l’indemnité de dépens jouit d’un large</w:t>
      </w:r>
    </w:p>
    <w:p>
      <w:r>
        <w:t>- 14 - pouvoir d’appréciation (ATF 111 V 49 consid. 4a ; 110 V 365 consid. 3c ; SVR 2001 AHV no 4 p. 12 consid. 3b). Une partie représentée par un conseil employé auprès d’une assurance de protection juridique, respectivement d’un syndicat, a également droit à une indemnité pour ses dépens (ATF 135 V 473 consid. 2.1 et 3.1 et les références). Toutefois, une indemnisation distincte d'avocats employés par des associations d'une part et d'avocats exerçant leur métier en profession libérale d'autre part n'est pas arbitraire (SVR 1999 IV Nr 28). Dans le cadre d'un recours de droit public, il n’a pas été jugé arbitraire de traiter différemment le statut d'avocat indépendant de celui d'avocat employé par une assurance de protection juridique, au motif que ce dernier profite de l'infrastructure de l'assurance et de sa possibilité de faire de la publicité, qu'il est dédommagé de manière appropriée pour son travail et que la société reçoit pour ses prestations des primes des assurés (ATF 120 Ia 169).</w:t>
      </w:r>
    </w:p>
    <w:p>
      <w:r>
        <w:rPr>
          <w:b/>
        </w:rPr>
        <w:t>E. 5.2</w:t>
      </w:r>
    </w:p>
    <w:p>
      <w:r>
        <w:t>Les Syndicats Chrétiens, conseils du recourant, ont produit en la présente cause un recours de 12 pages, une réplique, des observations complémentaires ainsi que plusieurs courriers. Compte tenu du temps utilement consacré par le conseil juridique dans l’affaire en question (art. 27 al. 1 LTar), les dépens réduits sont fixés à 1200 fr., débours et TVA compris (art. 27 al. 5 LTar).</w:t>
      </w:r>
    </w:p>
    <w:p>
      <w:r>
        <w:t>Prononce</w:t>
      </w:r>
    </w:p>
    <w:p>
      <w:r>
        <w:t>1. Le recours est partiellement admis. La décision du 28 avril 2023 est annulée et le dossier est renvoyé à l’Office cantonal AI du Valais pour instruction médicale complémentaire dans le sens du considérant 3.3. 2. L’Office cantonal AI du Valais versera à A.____ une indemnité de 1200 fr. pour ses dépens. 3. Les frais, par 500 fr., sont mis à la charge de l’Office cantonal AI du Valais. Sion, le 30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